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</w:pPr>
      <w:r>
        <w:rPr>
          <w:rFonts w:hint="eastAsia"/>
        </w:rPr>
        <w:t>附件1</w:t>
      </w:r>
    </w:p>
    <w:p>
      <w:pPr>
        <w:spacing w:line="5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历史文化学院综合评价指标体系</w:t>
      </w:r>
      <w:bookmarkEnd w:id="0"/>
    </w:p>
    <w:tbl>
      <w:tblPr>
        <w:tblStyle w:val="3"/>
        <w:tblpPr w:leftFromText="180" w:rightFromText="180" w:vertAnchor="text" w:horzAnchor="page" w:tblpX="1635" w:tblpY="390"/>
        <w:tblOverlap w:val="never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39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占比</w:t>
            </w:r>
          </w:p>
        </w:tc>
        <w:tc>
          <w:tcPr>
            <w:tcW w:w="6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综合素质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6293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满分值100分。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综合素质考核成绩为前三学年综合素质测评中“基本素质测评分”的平均数。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科研成果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6293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满分值100分。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审核评议小组结合《综合评价指标体系考核细则》及学生提交的具体成果情况进行打分。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竞赛获奖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满分值100分。 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审核评议小组结合《综合评价指标体系考核细则》及学生提交的具体获奖情况进行打分。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科研训练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及研究能力、创新潜质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6293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满分值100分。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审核评议小组结合《综合评价指标体系考核细则》及学生提交的具体科研训练情况进行打分。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志愿服务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满分值100分。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审核评议小组结合《综合评价指标体系考核细则》及实际志愿服务情况进行打分。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国际组织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实习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满分值100分。学生提供国际组织实习支撑材料，审核评议小组结合《综合评价指标体系考核细则》及实际情况进行打分。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DNlNDFhMmRlYTVkM2Q3ZmU3MGZjYzkzOTdhODUifQ=="/>
  </w:docVars>
  <w:rsids>
    <w:rsidRoot w:val="638560A4"/>
    <w:rsid w:val="638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2022-09-18T13:47:00Z</dcterms:created>
  <dc:creator>葛艾苓</dc:creator>
  <cp:lastModifiedBy>葛艾苓</cp:lastModifiedBy>
  <dcterms:modified xsi:type="dcterms:W3CDTF">2022-09-18T13:48:02Z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2605A659D59E4DF1A6203FA932C5BBD8</vt:lpwstr>
  </property>
</Properties>
</file>